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A4" w:rsidRPr="003641DF" w:rsidRDefault="000276A4" w:rsidP="000276A4">
      <w:pPr>
        <w:spacing w:after="0" w:line="240" w:lineRule="auto"/>
        <w:ind w:left="4536"/>
        <w:rPr>
          <w:rFonts w:ascii="Times New Roman" w:hAnsi="Times New Roman" w:cs="Times New Roman"/>
          <w:i/>
          <w:sz w:val="28"/>
          <w:szCs w:val="28"/>
          <w:lang w:val="uk-UA" w:eastAsia="en-US"/>
        </w:rPr>
      </w:pPr>
      <w:bookmarkStart w:id="0" w:name="_GoBack"/>
      <w:r w:rsidRPr="003641DF">
        <w:rPr>
          <w:rFonts w:ascii="Times New Roman" w:hAnsi="Times New Roman" w:cs="Times New Roman"/>
          <w:i/>
          <w:sz w:val="28"/>
          <w:szCs w:val="28"/>
          <w:lang w:val="uk-UA" w:eastAsia="en-US"/>
        </w:rPr>
        <w:t>НАЗВА СУДУ</w:t>
      </w:r>
    </w:p>
    <w:p w:rsidR="000276A4" w:rsidRPr="003641DF" w:rsidRDefault="000276A4" w:rsidP="000276A4">
      <w:pPr>
        <w:spacing w:after="0" w:line="240" w:lineRule="auto"/>
        <w:ind w:left="4536"/>
        <w:rPr>
          <w:rFonts w:ascii="Times New Roman" w:hAnsi="Times New Roman" w:cs="Times New Roman"/>
          <w:i/>
          <w:sz w:val="28"/>
          <w:szCs w:val="28"/>
          <w:lang w:val="uk-UA" w:eastAsia="en-US"/>
        </w:rPr>
      </w:pPr>
    </w:p>
    <w:p w:rsidR="000276A4" w:rsidRPr="003641DF" w:rsidRDefault="000276A4" w:rsidP="000276A4">
      <w:pPr>
        <w:spacing w:after="0" w:line="240" w:lineRule="auto"/>
        <w:ind w:left="4536"/>
        <w:rPr>
          <w:rFonts w:ascii="Times New Roman" w:hAnsi="Times New Roman" w:cs="Times New Roman"/>
          <w:i/>
          <w:sz w:val="28"/>
          <w:szCs w:val="28"/>
          <w:lang w:val="uk-UA" w:eastAsia="en-US"/>
        </w:rPr>
      </w:pPr>
      <w:r w:rsidRPr="003641DF">
        <w:rPr>
          <w:rFonts w:ascii="Times New Roman" w:hAnsi="Times New Roman" w:cs="Times New Roman"/>
          <w:i/>
          <w:sz w:val="28"/>
          <w:szCs w:val="28"/>
          <w:lang w:val="uk-UA" w:eastAsia="en-US"/>
        </w:rPr>
        <w:t>ВІД КОГО</w:t>
      </w:r>
    </w:p>
    <w:p w:rsidR="000276A4" w:rsidRPr="003641DF" w:rsidRDefault="000276A4" w:rsidP="000276A4">
      <w:pPr>
        <w:spacing w:after="0" w:line="240" w:lineRule="auto"/>
        <w:ind w:left="4536"/>
        <w:rPr>
          <w:rFonts w:ascii="Times New Roman" w:hAnsi="Times New Roman" w:cs="Times New Roman"/>
          <w:i/>
          <w:sz w:val="28"/>
          <w:szCs w:val="28"/>
          <w:lang w:val="uk-UA" w:eastAsia="en-US"/>
        </w:rPr>
      </w:pPr>
    </w:p>
    <w:p w:rsidR="000276A4" w:rsidRPr="003641DF" w:rsidRDefault="000276A4" w:rsidP="000276A4">
      <w:pPr>
        <w:spacing w:after="0" w:line="240" w:lineRule="auto"/>
        <w:ind w:left="4536"/>
        <w:rPr>
          <w:rFonts w:ascii="Times New Roman" w:hAnsi="Times New Roman" w:cs="Times New Roman"/>
          <w:i/>
          <w:sz w:val="28"/>
          <w:szCs w:val="28"/>
          <w:lang w:val="uk-UA" w:eastAsia="en-US"/>
        </w:rPr>
      </w:pPr>
      <w:r w:rsidRPr="003641DF">
        <w:rPr>
          <w:rFonts w:ascii="Times New Roman" w:hAnsi="Times New Roman" w:cs="Times New Roman"/>
          <w:i/>
          <w:sz w:val="28"/>
          <w:szCs w:val="28"/>
          <w:lang w:val="uk-UA" w:eastAsia="en-US"/>
        </w:rPr>
        <w:t>В ІНТЕРЕСАХ КОГО</w:t>
      </w:r>
    </w:p>
    <w:p w:rsidR="000276A4" w:rsidRPr="003641DF" w:rsidRDefault="000276A4" w:rsidP="000276A4">
      <w:pPr>
        <w:spacing w:after="0" w:line="240" w:lineRule="auto"/>
        <w:ind w:left="4536"/>
        <w:rPr>
          <w:rFonts w:ascii="Times New Roman" w:hAnsi="Times New Roman" w:cs="Times New Roman"/>
          <w:sz w:val="28"/>
          <w:szCs w:val="28"/>
          <w:lang w:val="uk-UA" w:eastAsia="en-US"/>
        </w:rPr>
      </w:pPr>
    </w:p>
    <w:p w:rsidR="000276A4" w:rsidRPr="003641DF" w:rsidRDefault="000276A4" w:rsidP="000276A4">
      <w:pPr>
        <w:spacing w:after="0" w:line="240" w:lineRule="auto"/>
        <w:ind w:left="4536"/>
        <w:rPr>
          <w:rFonts w:ascii="Times New Roman" w:hAnsi="Times New Roman" w:cs="Times New Roman"/>
          <w:sz w:val="28"/>
          <w:szCs w:val="28"/>
          <w:lang w:val="uk-UA" w:eastAsia="en-US"/>
        </w:rPr>
      </w:pPr>
    </w:p>
    <w:p w:rsidR="000276A4" w:rsidRPr="003641DF" w:rsidRDefault="000276A4" w:rsidP="000276A4">
      <w:pPr>
        <w:spacing w:after="0" w:line="240" w:lineRule="auto"/>
        <w:jc w:val="center"/>
        <w:rPr>
          <w:rFonts w:ascii="Times New Roman" w:hAnsi="Times New Roman" w:cs="Times New Roman"/>
          <w:b/>
          <w:sz w:val="28"/>
          <w:szCs w:val="28"/>
          <w:lang w:val="uk-UA"/>
        </w:rPr>
      </w:pPr>
      <w:r w:rsidRPr="003641DF">
        <w:rPr>
          <w:rFonts w:ascii="Times New Roman" w:hAnsi="Times New Roman" w:cs="Times New Roman"/>
          <w:b/>
          <w:sz w:val="28"/>
          <w:szCs w:val="28"/>
          <w:lang w:val="uk-UA"/>
        </w:rPr>
        <w:t>КЛОПОТАННЯ</w:t>
      </w:r>
    </w:p>
    <w:p w:rsidR="000276A4" w:rsidRPr="003641DF" w:rsidRDefault="000276A4" w:rsidP="000276A4">
      <w:pPr>
        <w:spacing w:after="0" w:line="240" w:lineRule="auto"/>
        <w:jc w:val="center"/>
        <w:rPr>
          <w:rFonts w:ascii="Times New Roman" w:hAnsi="Times New Roman" w:cs="Times New Roman"/>
          <w:b/>
          <w:sz w:val="28"/>
          <w:szCs w:val="28"/>
          <w:lang w:val="uk-UA"/>
        </w:rPr>
      </w:pPr>
      <w:r w:rsidRPr="003641DF">
        <w:rPr>
          <w:rFonts w:ascii="Times New Roman" w:hAnsi="Times New Roman" w:cs="Times New Roman"/>
          <w:b/>
          <w:sz w:val="28"/>
          <w:szCs w:val="28"/>
          <w:lang w:val="uk-UA"/>
        </w:rPr>
        <w:t>про зміну запобіжного заходу</w:t>
      </w:r>
    </w:p>
    <w:p w:rsidR="000276A4" w:rsidRPr="003641DF" w:rsidRDefault="000276A4" w:rsidP="000276A4">
      <w:pPr>
        <w:spacing w:after="0" w:line="240" w:lineRule="auto"/>
        <w:rPr>
          <w:rFonts w:ascii="Times New Roman" w:hAnsi="Times New Roman" w:cs="Times New Roman"/>
          <w:sz w:val="28"/>
          <w:szCs w:val="28"/>
          <w:lang w:val="uk-UA"/>
        </w:rPr>
      </w:pP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 xml:space="preserve">У провадження </w:t>
      </w:r>
      <w:r w:rsidRPr="003641DF">
        <w:rPr>
          <w:rFonts w:ascii="Times New Roman" w:hAnsi="Times New Roman" w:cs="Times New Roman"/>
          <w:i/>
          <w:sz w:val="28"/>
          <w:szCs w:val="28"/>
          <w:lang w:val="uk-UA"/>
        </w:rPr>
        <w:t>НАЗВА СУДУ</w:t>
      </w:r>
      <w:r w:rsidRPr="003641DF">
        <w:rPr>
          <w:rFonts w:ascii="Times New Roman" w:hAnsi="Times New Roman" w:cs="Times New Roman"/>
          <w:sz w:val="28"/>
          <w:szCs w:val="28"/>
          <w:lang w:val="uk-UA"/>
        </w:rPr>
        <w:t xml:space="preserve"> розглядаються матеріали кримінального провадження відносно </w:t>
      </w:r>
      <w:r w:rsidRPr="003641DF">
        <w:rPr>
          <w:rFonts w:ascii="Times New Roman" w:hAnsi="Times New Roman" w:cs="Times New Roman"/>
          <w:i/>
          <w:sz w:val="28"/>
          <w:szCs w:val="28"/>
          <w:lang w:val="uk-UA"/>
        </w:rPr>
        <w:t>П.І.П</w:t>
      </w:r>
      <w:r w:rsidRPr="003641DF">
        <w:rPr>
          <w:rFonts w:ascii="Times New Roman" w:hAnsi="Times New Roman" w:cs="Times New Roman"/>
          <w:sz w:val="28"/>
          <w:szCs w:val="28"/>
          <w:lang w:val="uk-UA"/>
        </w:rPr>
        <w:t xml:space="preserve">., який обвинувачується за ст. ___ КК України, № кримінального провадження ________. </w:t>
      </w:r>
    </w:p>
    <w:p w:rsidR="000276A4" w:rsidRPr="003641DF" w:rsidRDefault="000276A4" w:rsidP="000276A4">
      <w:pPr>
        <w:spacing w:after="0" w:line="240" w:lineRule="auto"/>
        <w:ind w:firstLine="709"/>
        <w:jc w:val="both"/>
        <w:rPr>
          <w:rFonts w:ascii="Times New Roman" w:hAnsi="Times New Roman" w:cs="Times New Roman"/>
          <w:sz w:val="28"/>
          <w:szCs w:val="28"/>
          <w:lang w:val="uk-UA"/>
        </w:rPr>
      </w:pPr>
      <w:r w:rsidRPr="003641DF">
        <w:rPr>
          <w:rFonts w:ascii="Times New Roman" w:hAnsi="Times New Roman" w:cs="Times New Roman"/>
          <w:i/>
          <w:sz w:val="28"/>
          <w:szCs w:val="28"/>
          <w:lang w:val="uk-UA"/>
        </w:rPr>
        <w:t>КОЛИ</w:t>
      </w:r>
      <w:r w:rsidRPr="003641DF">
        <w:rPr>
          <w:rFonts w:ascii="Times New Roman" w:hAnsi="Times New Roman" w:cs="Times New Roman"/>
          <w:sz w:val="28"/>
          <w:szCs w:val="28"/>
          <w:lang w:val="uk-UA"/>
        </w:rPr>
        <w:t xml:space="preserve"> та </w:t>
      </w:r>
      <w:r w:rsidRPr="003641DF">
        <w:rPr>
          <w:rFonts w:ascii="Times New Roman" w:hAnsi="Times New Roman" w:cs="Times New Roman"/>
          <w:i/>
          <w:sz w:val="28"/>
          <w:szCs w:val="28"/>
          <w:lang w:val="uk-UA"/>
        </w:rPr>
        <w:t>КИМ</w:t>
      </w:r>
      <w:r w:rsidRPr="003641DF">
        <w:rPr>
          <w:rFonts w:ascii="Times New Roman" w:hAnsi="Times New Roman" w:cs="Times New Roman"/>
          <w:sz w:val="28"/>
          <w:szCs w:val="28"/>
          <w:lang w:val="uk-UA"/>
        </w:rPr>
        <w:t xml:space="preserve"> обвинуваченому </w:t>
      </w:r>
      <w:r w:rsidRPr="003641DF">
        <w:rPr>
          <w:rFonts w:ascii="Times New Roman" w:hAnsi="Times New Roman" w:cs="Times New Roman"/>
          <w:i/>
          <w:sz w:val="28"/>
          <w:szCs w:val="28"/>
          <w:lang w:val="uk-UA"/>
        </w:rPr>
        <w:t>П.І.П</w:t>
      </w:r>
      <w:r w:rsidRPr="003641DF">
        <w:rPr>
          <w:rFonts w:ascii="Times New Roman" w:hAnsi="Times New Roman" w:cs="Times New Roman"/>
          <w:sz w:val="28"/>
          <w:szCs w:val="28"/>
          <w:lang w:val="uk-UA"/>
        </w:rPr>
        <w:t>. обрано запобіжний захід у вигляді тримання під вартою строком на 60 діб.</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Відповідно до ч</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1 ст.</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201 КПК України, підозрюваний, обвинувачений, до якого застосовано запобіжний захід, його захисник, має право подати клопотання про зміну запобіжного заходу.</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Згідно із ч.</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3 ст.</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315 КПК України, 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 розділом II цього Кодексу.</w:t>
      </w:r>
    </w:p>
    <w:p w:rsidR="000276A4" w:rsidRPr="003641DF" w:rsidRDefault="000276A4" w:rsidP="000276A4">
      <w:pPr>
        <w:spacing w:after="0" w:line="240" w:lineRule="auto"/>
        <w:jc w:val="both"/>
        <w:rPr>
          <w:rFonts w:ascii="Times New Roman" w:hAnsi="Times New Roman" w:cs="Times New Roman"/>
          <w:i/>
          <w:sz w:val="28"/>
          <w:szCs w:val="28"/>
          <w:lang w:val="uk-UA"/>
        </w:rPr>
      </w:pPr>
      <w:r w:rsidRPr="003641DF">
        <w:rPr>
          <w:rFonts w:ascii="Times New Roman" w:hAnsi="Times New Roman" w:cs="Times New Roman"/>
          <w:sz w:val="28"/>
          <w:szCs w:val="28"/>
          <w:lang w:val="uk-UA"/>
        </w:rPr>
        <w:tab/>
      </w:r>
      <w:r w:rsidRPr="003641DF">
        <w:rPr>
          <w:rFonts w:ascii="Times New Roman" w:hAnsi="Times New Roman" w:cs="Times New Roman"/>
          <w:i/>
          <w:sz w:val="28"/>
          <w:szCs w:val="28"/>
          <w:lang w:val="uk-UA"/>
        </w:rPr>
        <w:t>ОПИС ОБСТВИН, ЩО ДАЮТЬ ЗМОГУ ЗАСТОСУВАТИ БІЛЬШ М'ЯКИЙ ЗАОБІЖНИЙ ЗАХІД</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Відповідно до ст.</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178 КПК України при вирішенні питання про обрання запобіжного заходу, крім наявності ризиків, зазначених у статті 177 цього Кодексу, слідчий суддя, суд на підставі наданих сторонами кримінального провадження матеріалів зобов'язаний оцінити в сукупності всі обставини, у тому числі:</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вагомість наявних доказів про вчинення підозрюваним, обвинуваченим кримінального правопорушення;</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вік та стан здоров'я підозрюваного, обвинуваченого;</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наявність у підозрюваного, обвинуваченого постійного місця роботи або навчання;</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репутацію підозрюваного, обвинуваченого;</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майновий стан підозрюваного, обвинуваченого;</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наявність судимостей у підозрюваного, обвинуваченого;</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lastRenderedPageBreak/>
        <w:t>дотримання підозрюваним, обвинуваченим умов застосованих запобіжних заходів, якщо вони застосовувалися до нього раніше;</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наявність повідомлення особі про підозру у вчиненні іншого кримінального правопорушення;</w:t>
      </w:r>
    </w:p>
    <w:p w:rsidR="000276A4" w:rsidRPr="003641DF" w:rsidRDefault="000276A4" w:rsidP="000276A4">
      <w:pPr>
        <w:pStyle w:val="a3"/>
        <w:numPr>
          <w:ilvl w:val="0"/>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Відповідно до ч.</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1 ст.</w:t>
      </w:r>
      <w:r w:rsidR="004B17EB"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177 КПК України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0276A4" w:rsidRPr="003641DF" w:rsidRDefault="000276A4" w:rsidP="000276A4">
      <w:pPr>
        <w:pStyle w:val="a3"/>
        <w:numPr>
          <w:ilvl w:val="0"/>
          <w:numId w:val="2"/>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переховуватися від органів досудового розслідування та/або суду;</w:t>
      </w:r>
    </w:p>
    <w:p w:rsidR="000276A4" w:rsidRPr="003641DF" w:rsidRDefault="000276A4" w:rsidP="000276A4">
      <w:pPr>
        <w:pStyle w:val="a3"/>
        <w:numPr>
          <w:ilvl w:val="0"/>
          <w:numId w:val="2"/>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0276A4" w:rsidRPr="003641DF" w:rsidRDefault="000276A4" w:rsidP="000276A4">
      <w:pPr>
        <w:pStyle w:val="a3"/>
        <w:numPr>
          <w:ilvl w:val="0"/>
          <w:numId w:val="2"/>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незаконно впливати на потерпілого, свідка, іншого підозрюваного, обвинуваченого, експерта, спеціаліста у цьому ж кримінальному провадженні;</w:t>
      </w:r>
    </w:p>
    <w:p w:rsidR="000276A4" w:rsidRPr="003641DF" w:rsidRDefault="000276A4" w:rsidP="000276A4">
      <w:pPr>
        <w:pStyle w:val="a3"/>
        <w:numPr>
          <w:ilvl w:val="0"/>
          <w:numId w:val="2"/>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перешкоджати кримінальному провадженню іншим чином;</w:t>
      </w:r>
    </w:p>
    <w:p w:rsidR="000276A4" w:rsidRPr="003641DF" w:rsidRDefault="000276A4" w:rsidP="000276A4">
      <w:pPr>
        <w:pStyle w:val="a3"/>
        <w:numPr>
          <w:ilvl w:val="0"/>
          <w:numId w:val="2"/>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вчинити інше кримінальне правопорушення чи продовжити кримінальне правопорушення, у якому підозрюється, обвинувачується.</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 xml:space="preserve">Вважаю, що ризики відповідно до ст. 177 КПК України щодо </w:t>
      </w:r>
      <w:r w:rsidRPr="003641DF">
        <w:rPr>
          <w:rFonts w:ascii="Times New Roman" w:hAnsi="Times New Roman" w:cs="Times New Roman"/>
          <w:i/>
          <w:sz w:val="28"/>
          <w:szCs w:val="28"/>
          <w:lang w:val="uk-UA"/>
        </w:rPr>
        <w:t>П.І.П.</w:t>
      </w:r>
      <w:r w:rsidRPr="003641DF">
        <w:rPr>
          <w:rFonts w:ascii="Times New Roman" w:hAnsi="Times New Roman" w:cs="Times New Roman"/>
          <w:sz w:val="28"/>
          <w:szCs w:val="28"/>
          <w:lang w:val="uk-UA"/>
        </w:rPr>
        <w:t xml:space="preserve"> в даному кримінальному провадженні відсутні.</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 xml:space="preserve">Вважаю, що застосування запобіжного заходу у вигляді домашнього арешту із забороною залишати житло в нічний період доби буде достатнім для забезпечення виконання обвинуваченим покладених на нього обов’язків. </w:t>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Після спливу певного проміжку часу (досудового розслідування, судового розгляду) навіть обґрунтована підозра у вчиненні злочину не може бути єдиним</w:t>
      </w:r>
      <w:r w:rsidRPr="003641DF">
        <w:rPr>
          <w:rFonts w:ascii="Times New Roman" w:hAnsi="Times New Roman" w:cs="Times New Roman"/>
          <w:b/>
          <w:i/>
          <w:sz w:val="28"/>
          <w:szCs w:val="28"/>
          <w:lang w:val="uk-UA"/>
        </w:rPr>
        <w:t xml:space="preserve"> </w:t>
      </w:r>
      <w:r w:rsidRPr="003641DF">
        <w:rPr>
          <w:rFonts w:ascii="Times New Roman" w:hAnsi="Times New Roman" w:cs="Times New Roman"/>
          <w:sz w:val="28"/>
          <w:szCs w:val="28"/>
          <w:lang w:val="uk-UA"/>
        </w:rPr>
        <w:t>виправданням тримання під вартою підозрюваного, обвинуваченого, а тому слідчому судді, суду у разі задоволення клопотання про обрання або продовження терміну застосування запобіжного заходу у вигляді тримання під вартою необхідно чітко зазначити у судовому рішенні про наявність іншої підстави (підстав) або ризику, що передбачені ч. 1 ст. 177 КПК. Продовження тримання під вартою може бути виправдано тільки за наявності конкретного суспільного інтересу, який, незважаючи на презумпцію невинуватості, превалює над принципом поваги до свободи особистості (п. 79 рішення ЄСПЛ у справі «Харченко проти України» від 10 лютого 2011 року, п. 60 рішення у справі «Єлоєв проти України»).</w:t>
      </w:r>
      <w:r w:rsidRPr="003641DF">
        <w:rPr>
          <w:rFonts w:ascii="Times New Roman" w:hAnsi="Times New Roman" w:cs="Times New Roman"/>
          <w:sz w:val="28"/>
          <w:szCs w:val="28"/>
          <w:lang w:val="uk-UA"/>
        </w:rPr>
        <w:tab/>
      </w:r>
    </w:p>
    <w:p w:rsidR="000276A4" w:rsidRPr="003641DF" w:rsidRDefault="000276A4" w:rsidP="000276A4">
      <w:p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ab/>
        <w:t xml:space="preserve">На підставі </w:t>
      </w:r>
      <w:r w:rsidR="00EF6586" w:rsidRPr="003641DF">
        <w:rPr>
          <w:rFonts w:ascii="Times New Roman" w:hAnsi="Times New Roman" w:cs="Times New Roman"/>
          <w:sz w:val="28"/>
          <w:szCs w:val="28"/>
          <w:lang w:val="uk-UA"/>
        </w:rPr>
        <w:t>вищевикладеного,</w:t>
      </w:r>
      <w:r w:rsidRPr="003641DF">
        <w:rPr>
          <w:rFonts w:ascii="Times New Roman" w:hAnsi="Times New Roman" w:cs="Times New Roman"/>
          <w:sz w:val="28"/>
          <w:szCs w:val="28"/>
          <w:lang w:val="uk-UA"/>
        </w:rPr>
        <w:t xml:space="preserve"> </w:t>
      </w:r>
      <w:r w:rsidR="00EF6586" w:rsidRPr="003641DF">
        <w:rPr>
          <w:rFonts w:ascii="Times New Roman" w:hAnsi="Times New Roman" w:cs="Times New Roman"/>
          <w:sz w:val="28"/>
          <w:szCs w:val="28"/>
          <w:lang w:val="uk-UA"/>
        </w:rPr>
        <w:t xml:space="preserve">у відповідності до ст. 181 КПК України, </w:t>
      </w:r>
      <w:r w:rsidRPr="003641DF">
        <w:rPr>
          <w:rFonts w:ascii="Times New Roman" w:hAnsi="Times New Roman" w:cs="Times New Roman"/>
          <w:sz w:val="28"/>
          <w:szCs w:val="28"/>
          <w:lang w:val="uk-UA"/>
        </w:rPr>
        <w:t>керуючись ст.</w:t>
      </w:r>
      <w:r w:rsidR="00EF6586" w:rsidRPr="003641DF">
        <w:rPr>
          <w:rFonts w:ascii="Times New Roman" w:hAnsi="Times New Roman" w:cs="Times New Roman"/>
          <w:sz w:val="28"/>
          <w:szCs w:val="28"/>
          <w:lang w:val="uk-UA"/>
        </w:rPr>
        <w:t xml:space="preserve"> </w:t>
      </w:r>
      <w:r w:rsidRPr="003641DF">
        <w:rPr>
          <w:rFonts w:ascii="Times New Roman" w:hAnsi="Times New Roman" w:cs="Times New Roman"/>
          <w:sz w:val="28"/>
          <w:szCs w:val="28"/>
          <w:lang w:val="uk-UA"/>
        </w:rPr>
        <w:t xml:space="preserve">199 КПК України, </w:t>
      </w:r>
    </w:p>
    <w:p w:rsidR="000276A4" w:rsidRPr="003641DF" w:rsidRDefault="000276A4" w:rsidP="000276A4">
      <w:pPr>
        <w:spacing w:after="0" w:line="240" w:lineRule="auto"/>
        <w:jc w:val="center"/>
        <w:rPr>
          <w:rFonts w:ascii="Times New Roman" w:hAnsi="Times New Roman" w:cs="Times New Roman"/>
          <w:sz w:val="28"/>
          <w:szCs w:val="28"/>
          <w:lang w:val="uk-UA"/>
        </w:rPr>
      </w:pPr>
    </w:p>
    <w:p w:rsidR="000276A4" w:rsidRPr="003641DF" w:rsidRDefault="000276A4" w:rsidP="000276A4">
      <w:pPr>
        <w:spacing w:after="0" w:line="240" w:lineRule="auto"/>
        <w:jc w:val="center"/>
        <w:rPr>
          <w:rFonts w:ascii="Times New Roman" w:hAnsi="Times New Roman" w:cs="Times New Roman"/>
          <w:b/>
          <w:sz w:val="28"/>
          <w:szCs w:val="28"/>
          <w:lang w:val="uk-UA"/>
        </w:rPr>
      </w:pPr>
      <w:r w:rsidRPr="003641DF">
        <w:rPr>
          <w:rFonts w:ascii="Times New Roman" w:hAnsi="Times New Roman" w:cs="Times New Roman"/>
          <w:b/>
          <w:sz w:val="28"/>
          <w:szCs w:val="28"/>
          <w:lang w:val="uk-UA"/>
        </w:rPr>
        <w:t>ПРОШУ:</w:t>
      </w:r>
    </w:p>
    <w:p w:rsidR="000276A4" w:rsidRPr="003641DF" w:rsidRDefault="000276A4" w:rsidP="000276A4">
      <w:pPr>
        <w:spacing w:after="0" w:line="240" w:lineRule="auto"/>
        <w:jc w:val="center"/>
        <w:rPr>
          <w:rFonts w:ascii="Times New Roman" w:hAnsi="Times New Roman" w:cs="Times New Roman"/>
          <w:sz w:val="28"/>
          <w:szCs w:val="28"/>
          <w:lang w:val="uk-UA"/>
        </w:rPr>
      </w:pPr>
    </w:p>
    <w:p w:rsidR="000276A4" w:rsidRPr="003641DF" w:rsidRDefault="000276A4" w:rsidP="00EF6586">
      <w:pPr>
        <w:pStyle w:val="a3"/>
        <w:numPr>
          <w:ilvl w:val="1"/>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lastRenderedPageBreak/>
        <w:t xml:space="preserve">Змінити запобіжний захід </w:t>
      </w:r>
      <w:r w:rsidR="00EF6586" w:rsidRPr="003641DF">
        <w:rPr>
          <w:rFonts w:ascii="Times New Roman" w:hAnsi="Times New Roman" w:cs="Times New Roman"/>
          <w:sz w:val="28"/>
          <w:szCs w:val="28"/>
          <w:lang w:val="uk-UA"/>
        </w:rPr>
        <w:t xml:space="preserve">обвинуваченому </w:t>
      </w:r>
      <w:r w:rsidR="00EF6586" w:rsidRPr="003641DF">
        <w:rPr>
          <w:rFonts w:ascii="Times New Roman" w:hAnsi="Times New Roman" w:cs="Times New Roman"/>
          <w:i/>
          <w:sz w:val="28"/>
          <w:szCs w:val="28"/>
          <w:lang w:val="uk-UA"/>
        </w:rPr>
        <w:t>П.І.П.</w:t>
      </w:r>
      <w:r w:rsidRPr="003641DF">
        <w:rPr>
          <w:rFonts w:ascii="Times New Roman" w:hAnsi="Times New Roman" w:cs="Times New Roman"/>
          <w:sz w:val="28"/>
          <w:szCs w:val="28"/>
          <w:lang w:val="uk-UA"/>
        </w:rPr>
        <w:t xml:space="preserve"> з тримання під вартою на домашній арешт із забороною залишати житло в нічний період доби.</w:t>
      </w:r>
    </w:p>
    <w:p w:rsidR="00EF6586" w:rsidRPr="003641DF" w:rsidRDefault="00EF6586" w:rsidP="00EF6586">
      <w:pPr>
        <w:pStyle w:val="a3"/>
        <w:numPr>
          <w:ilvl w:val="1"/>
          <w:numId w:val="1"/>
        </w:numPr>
        <w:spacing w:after="0" w:line="240" w:lineRule="auto"/>
        <w:jc w:val="both"/>
        <w:rPr>
          <w:rFonts w:ascii="Times New Roman" w:hAnsi="Times New Roman" w:cs="Times New Roman"/>
          <w:sz w:val="28"/>
          <w:szCs w:val="28"/>
          <w:lang w:val="uk-UA"/>
        </w:rPr>
      </w:pPr>
      <w:r w:rsidRPr="003641DF">
        <w:rPr>
          <w:rFonts w:ascii="Times New Roman" w:hAnsi="Times New Roman" w:cs="Times New Roman"/>
          <w:sz w:val="28"/>
          <w:szCs w:val="28"/>
          <w:lang w:val="uk-UA"/>
        </w:rPr>
        <w:t xml:space="preserve">Встановити для обвинуваченого </w:t>
      </w:r>
      <w:r w:rsidRPr="003641DF">
        <w:rPr>
          <w:rFonts w:ascii="Times New Roman" w:hAnsi="Times New Roman" w:cs="Times New Roman"/>
          <w:i/>
          <w:sz w:val="28"/>
          <w:szCs w:val="28"/>
          <w:lang w:val="uk-UA"/>
        </w:rPr>
        <w:t>П.І.П.</w:t>
      </w:r>
      <w:r w:rsidRPr="003641DF">
        <w:rPr>
          <w:rFonts w:ascii="Times New Roman" w:hAnsi="Times New Roman" w:cs="Times New Roman"/>
          <w:sz w:val="28"/>
          <w:szCs w:val="28"/>
          <w:lang w:val="uk-UA"/>
        </w:rPr>
        <w:t xml:space="preserve"> такі обов’язки:</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r w:rsidRPr="003641DF">
        <w:rPr>
          <w:sz w:val="28"/>
          <w:szCs w:val="28"/>
          <w:lang w:val="uk-UA"/>
        </w:rPr>
        <w:t>прибувати за кожною вимогою до суду;</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1" w:name="n1891"/>
      <w:bookmarkEnd w:id="1"/>
      <w:r w:rsidRPr="003641DF">
        <w:rPr>
          <w:sz w:val="28"/>
          <w:szCs w:val="28"/>
          <w:lang w:val="uk-UA"/>
        </w:rPr>
        <w:t>прибувати до визначеної службової особи із встановленою періодичністю;</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2" w:name="n1892"/>
      <w:bookmarkEnd w:id="2"/>
      <w:r w:rsidRPr="003641DF">
        <w:rPr>
          <w:sz w:val="28"/>
          <w:szCs w:val="28"/>
          <w:lang w:val="uk-UA"/>
        </w:rPr>
        <w:t>не відлучатися із населеного пункту, в якому він зареєстрований, проживає чи перебуває, без дозволу суду;</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3" w:name="n1893"/>
      <w:bookmarkEnd w:id="3"/>
      <w:r w:rsidRPr="003641DF">
        <w:rPr>
          <w:sz w:val="28"/>
          <w:szCs w:val="28"/>
          <w:lang w:val="uk-UA"/>
        </w:rPr>
        <w:t>повідомляти суд про зміну свого місця проживання та/або місця роботи;</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4" w:name="n1894"/>
      <w:bookmarkEnd w:id="4"/>
      <w:r w:rsidRPr="003641DF">
        <w:rPr>
          <w:sz w:val="28"/>
          <w:szCs w:val="28"/>
          <w:lang w:val="uk-UA"/>
        </w:rPr>
        <w:t>утримуватися від спілкування з ________________;</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5" w:name="n1895"/>
      <w:bookmarkEnd w:id="5"/>
      <w:r w:rsidRPr="003641DF">
        <w:rPr>
          <w:sz w:val="28"/>
          <w:szCs w:val="28"/>
          <w:lang w:val="uk-UA"/>
        </w:rPr>
        <w:t>не відвідувати місця ____________________________________________;</w:t>
      </w:r>
    </w:p>
    <w:p w:rsidR="00EF6586" w:rsidRPr="003641DF" w:rsidRDefault="00EF6586" w:rsidP="00EF6586">
      <w:pPr>
        <w:pStyle w:val="rvps2"/>
        <w:numPr>
          <w:ilvl w:val="0"/>
          <w:numId w:val="6"/>
        </w:numPr>
        <w:spacing w:before="0" w:beforeAutospacing="0" w:after="0" w:afterAutospacing="0"/>
        <w:ind w:left="1843"/>
        <w:jc w:val="both"/>
        <w:rPr>
          <w:sz w:val="28"/>
          <w:szCs w:val="28"/>
          <w:lang w:val="uk-UA"/>
        </w:rPr>
      </w:pPr>
      <w:bookmarkStart w:id="6" w:name="n1896"/>
      <w:bookmarkStart w:id="7" w:name="n1898"/>
      <w:bookmarkEnd w:id="6"/>
      <w:bookmarkEnd w:id="7"/>
      <w:r w:rsidRPr="003641DF">
        <w:rPr>
          <w:sz w:val="28"/>
          <w:szCs w:val="28"/>
          <w:lang w:val="uk-UA"/>
        </w:rPr>
        <w:t>здати на зберігання до відповідних органів державної влади свій паспорт для виїзду за кордон, інші документи, що дають право на виїзд з України і в’їзд в Україну;</w:t>
      </w:r>
    </w:p>
    <w:p w:rsidR="00EF6586" w:rsidRPr="003641DF" w:rsidRDefault="00EF6586" w:rsidP="00EF6586">
      <w:pPr>
        <w:pStyle w:val="a3"/>
        <w:spacing w:after="0" w:line="240" w:lineRule="auto"/>
        <w:ind w:left="1440"/>
        <w:jc w:val="both"/>
        <w:rPr>
          <w:rFonts w:ascii="Times New Roman" w:hAnsi="Times New Roman" w:cs="Times New Roman"/>
          <w:sz w:val="28"/>
          <w:szCs w:val="28"/>
          <w:lang w:val="uk-UA"/>
        </w:rPr>
      </w:pPr>
      <w:bookmarkStart w:id="8" w:name="n1899"/>
      <w:bookmarkEnd w:id="8"/>
    </w:p>
    <w:p w:rsidR="00EF6586" w:rsidRPr="003641DF" w:rsidRDefault="00EF6586" w:rsidP="00EF6586">
      <w:pPr>
        <w:spacing w:after="0" w:line="240" w:lineRule="auto"/>
        <w:jc w:val="both"/>
        <w:rPr>
          <w:rFonts w:ascii="Times New Roman" w:hAnsi="Times New Roman" w:cs="Times New Roman"/>
          <w:sz w:val="28"/>
          <w:szCs w:val="28"/>
          <w:lang w:val="uk-UA"/>
        </w:rPr>
      </w:pPr>
    </w:p>
    <w:p w:rsidR="00EF6586" w:rsidRPr="003641DF" w:rsidRDefault="00EF6586" w:rsidP="00EF6586">
      <w:pPr>
        <w:spacing w:after="0" w:line="240" w:lineRule="auto"/>
        <w:jc w:val="both"/>
        <w:rPr>
          <w:rFonts w:ascii="Times New Roman" w:hAnsi="Times New Roman" w:cs="Times New Roman"/>
          <w:b/>
          <w:sz w:val="28"/>
          <w:szCs w:val="28"/>
          <w:lang w:val="uk-UA"/>
        </w:rPr>
      </w:pPr>
      <w:r w:rsidRPr="003641DF">
        <w:rPr>
          <w:rFonts w:ascii="Times New Roman" w:hAnsi="Times New Roman" w:cs="Times New Roman"/>
          <w:b/>
          <w:sz w:val="28"/>
          <w:szCs w:val="28"/>
          <w:lang w:val="uk-UA"/>
        </w:rPr>
        <w:t>Додатки:</w:t>
      </w:r>
    </w:p>
    <w:p w:rsidR="00EF6586" w:rsidRPr="003641DF" w:rsidRDefault="00EF6586" w:rsidP="00EF6586">
      <w:pPr>
        <w:spacing w:after="0" w:line="240" w:lineRule="auto"/>
        <w:jc w:val="both"/>
        <w:rPr>
          <w:rFonts w:ascii="Times New Roman" w:hAnsi="Times New Roman" w:cs="Times New Roman"/>
          <w:sz w:val="28"/>
          <w:szCs w:val="28"/>
          <w:lang w:val="uk-UA"/>
        </w:rPr>
      </w:pPr>
    </w:p>
    <w:p w:rsidR="00EF6586" w:rsidRPr="003641DF" w:rsidRDefault="00EF6586" w:rsidP="00EF6586">
      <w:pPr>
        <w:spacing w:after="0" w:line="240" w:lineRule="auto"/>
        <w:jc w:val="both"/>
        <w:rPr>
          <w:rFonts w:ascii="Times New Roman" w:hAnsi="Times New Roman" w:cs="Times New Roman"/>
          <w:sz w:val="28"/>
          <w:szCs w:val="28"/>
          <w:lang w:val="uk-UA"/>
        </w:rPr>
      </w:pPr>
    </w:p>
    <w:p w:rsidR="00EF6586" w:rsidRPr="003641DF" w:rsidRDefault="004B17EB" w:rsidP="00EF6586">
      <w:pPr>
        <w:spacing w:after="0" w:line="240" w:lineRule="auto"/>
        <w:jc w:val="both"/>
        <w:rPr>
          <w:rFonts w:ascii="Times New Roman" w:hAnsi="Times New Roman" w:cs="Times New Roman"/>
          <w:i/>
          <w:sz w:val="28"/>
          <w:szCs w:val="28"/>
          <w:lang w:val="uk-UA"/>
        </w:rPr>
      </w:pPr>
      <w:r w:rsidRPr="003641DF">
        <w:rPr>
          <w:rFonts w:ascii="Times New Roman" w:hAnsi="Times New Roman" w:cs="Times New Roman"/>
          <w:i/>
          <w:sz w:val="28"/>
          <w:szCs w:val="28"/>
          <w:lang w:val="uk-UA"/>
        </w:rPr>
        <w:t>ДАТА</w:t>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r>
      <w:r w:rsidRPr="003641DF">
        <w:rPr>
          <w:rFonts w:ascii="Times New Roman" w:hAnsi="Times New Roman" w:cs="Times New Roman"/>
          <w:i/>
          <w:sz w:val="28"/>
          <w:szCs w:val="28"/>
          <w:lang w:val="uk-UA"/>
        </w:rPr>
        <w:tab/>
        <w:t>ПІДПИС</w:t>
      </w:r>
    </w:p>
    <w:p w:rsidR="000276A4" w:rsidRPr="003641DF" w:rsidRDefault="000276A4" w:rsidP="000276A4">
      <w:pPr>
        <w:spacing w:after="0" w:line="240" w:lineRule="auto"/>
        <w:rPr>
          <w:rFonts w:ascii="Times New Roman" w:hAnsi="Times New Roman" w:cs="Times New Roman"/>
          <w:b/>
          <w:sz w:val="28"/>
          <w:szCs w:val="28"/>
          <w:lang w:val="uk-UA"/>
        </w:rPr>
      </w:pPr>
    </w:p>
    <w:p w:rsidR="000276A4" w:rsidRPr="003641DF" w:rsidRDefault="000276A4" w:rsidP="000276A4">
      <w:pPr>
        <w:spacing w:after="0" w:line="240" w:lineRule="auto"/>
        <w:rPr>
          <w:rFonts w:ascii="Times New Roman" w:hAnsi="Times New Roman" w:cs="Times New Roman"/>
          <w:sz w:val="28"/>
          <w:szCs w:val="28"/>
          <w:lang w:val="uk-UA"/>
        </w:rPr>
      </w:pPr>
    </w:p>
    <w:bookmarkEnd w:id="0"/>
    <w:p w:rsidR="000276A4" w:rsidRPr="003641DF" w:rsidRDefault="000276A4">
      <w:pPr>
        <w:rPr>
          <w:sz w:val="28"/>
          <w:szCs w:val="28"/>
        </w:rPr>
      </w:pPr>
    </w:p>
    <w:sectPr w:rsidR="000276A4" w:rsidRPr="00364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7E1"/>
    <w:multiLevelType w:val="hybridMultilevel"/>
    <w:tmpl w:val="B8F41D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4C0F6D"/>
    <w:multiLevelType w:val="hybridMultilevel"/>
    <w:tmpl w:val="733E9780"/>
    <w:lvl w:ilvl="0" w:tplc="095671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69D6E77"/>
    <w:multiLevelType w:val="hybridMultilevel"/>
    <w:tmpl w:val="4D6A36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A800C3"/>
    <w:multiLevelType w:val="hybridMultilevel"/>
    <w:tmpl w:val="B2F03724"/>
    <w:lvl w:ilvl="0" w:tplc="095671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5B6976"/>
    <w:multiLevelType w:val="hybridMultilevel"/>
    <w:tmpl w:val="37425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276A4"/>
    <w:rsid w:val="000276A4"/>
    <w:rsid w:val="003641DF"/>
    <w:rsid w:val="004B17EB"/>
    <w:rsid w:val="00EF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6A4"/>
    <w:pPr>
      <w:ind w:left="720"/>
      <w:contextualSpacing/>
    </w:pPr>
    <w:rPr>
      <w:rFonts w:eastAsiaTheme="minorHAnsi"/>
      <w:lang w:eastAsia="en-US"/>
    </w:rPr>
  </w:style>
  <w:style w:type="table" w:styleId="a4">
    <w:name w:val="Table Grid"/>
    <w:basedOn w:val="a1"/>
    <w:uiPriority w:val="59"/>
    <w:rsid w:val="000276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F6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70423">
      <w:bodyDiv w:val="1"/>
      <w:marLeft w:val="0"/>
      <w:marRight w:val="0"/>
      <w:marTop w:val="0"/>
      <w:marBottom w:val="0"/>
      <w:divBdr>
        <w:top w:val="none" w:sz="0" w:space="0" w:color="auto"/>
        <w:left w:val="none" w:sz="0" w:space="0" w:color="auto"/>
        <w:bottom w:val="none" w:sz="0" w:space="0" w:color="auto"/>
        <w:right w:val="none" w:sz="0" w:space="0" w:color="auto"/>
      </w:divBdr>
    </w:div>
    <w:div w:id="1097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4</cp:revision>
  <dcterms:created xsi:type="dcterms:W3CDTF">2015-05-22T09:24:00Z</dcterms:created>
  <dcterms:modified xsi:type="dcterms:W3CDTF">2015-07-11T08:55:00Z</dcterms:modified>
</cp:coreProperties>
</file>